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D500C">
        <w:rPr>
          <w:rFonts w:ascii="Calibri" w:hAnsi="Calibri"/>
          <w:sz w:val="22"/>
          <w:szCs w:val="22"/>
        </w:rPr>
        <w:t>z dnia 24.10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AD500C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31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AD500C">
        <w:rPr>
          <w:rFonts w:ascii="Calibri" w:hAnsi="Calibri" w:cs="Arial"/>
          <w:sz w:val="22"/>
          <w:szCs w:val="22"/>
        </w:rPr>
        <w:t xml:space="preserve"> dla 5 osób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="00AD500C">
        <w:rPr>
          <w:rFonts w:ascii="Calibri" w:hAnsi="Calibri" w:cs="Arial"/>
          <w:sz w:val="22"/>
          <w:szCs w:val="22"/>
          <w:u w:val="single"/>
        </w:rPr>
        <w:t>cykl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2CA3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3EE2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00C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16851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C420-75B1-45B8-9400-C2C07C96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18</cp:revision>
  <cp:lastPrinted>2016-08-10T13:03:00Z</cp:lastPrinted>
  <dcterms:created xsi:type="dcterms:W3CDTF">2017-05-09T09:24:00Z</dcterms:created>
  <dcterms:modified xsi:type="dcterms:W3CDTF">2017-10-24T11:34:00Z</dcterms:modified>
</cp:coreProperties>
</file>